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073E" w14:textId="196BE40F" w:rsidR="004B05DD" w:rsidRPr="00A76624" w:rsidRDefault="004B05DD" w:rsidP="00A76624">
      <w:pPr>
        <w:jc w:val="center"/>
        <w:rPr>
          <w:rFonts w:ascii="Calibri" w:eastAsia="Calibri" w:hAnsi="Calibri" w:cs="Calibri"/>
          <w:b/>
        </w:rPr>
      </w:pPr>
      <w:r w:rsidRPr="00A76624">
        <w:rPr>
          <w:rFonts w:ascii="Calibri" w:eastAsia="Calibri" w:hAnsi="Calibri" w:cs="Calibri"/>
          <w:b/>
        </w:rPr>
        <w:t>Empowering A Learning Society: Re</w:t>
      </w:r>
      <w:r w:rsidR="00A76624" w:rsidRPr="00A76624">
        <w:rPr>
          <w:rFonts w:ascii="Calibri" w:eastAsia="Calibri" w:hAnsi="Calibri" w:cs="Calibri"/>
          <w:b/>
        </w:rPr>
        <w:t>i</w:t>
      </w:r>
      <w:r w:rsidRPr="00A76624">
        <w:rPr>
          <w:rFonts w:ascii="Calibri" w:eastAsia="Calibri" w:hAnsi="Calibri" w:cs="Calibri"/>
          <w:b/>
        </w:rPr>
        <w:t>magine Learning System</w:t>
      </w:r>
      <w:r w:rsidR="00FD089F">
        <w:rPr>
          <w:rFonts w:ascii="Calibri" w:eastAsia="Calibri" w:hAnsi="Calibri" w:cs="Calibri"/>
          <w:b/>
        </w:rPr>
        <w:t>s</w:t>
      </w:r>
      <w:r w:rsidRPr="00A76624">
        <w:rPr>
          <w:rFonts w:ascii="Calibri" w:eastAsia="Calibri" w:hAnsi="Calibri" w:cs="Calibri"/>
          <w:b/>
        </w:rPr>
        <w:t xml:space="preserve"> for 21st Century </w:t>
      </w:r>
      <w:r w:rsidR="00FD089F">
        <w:rPr>
          <w:rFonts w:ascii="Calibri" w:eastAsia="Calibri" w:hAnsi="Calibri" w:cs="Calibri"/>
          <w:b/>
        </w:rPr>
        <w:t>Learners</w:t>
      </w:r>
    </w:p>
    <w:p w14:paraId="37453759" w14:textId="6737FE52" w:rsidR="00A76624" w:rsidRPr="00A76624" w:rsidRDefault="00A76624" w:rsidP="00A76624">
      <w:pPr>
        <w:jc w:val="center"/>
        <w:rPr>
          <w:rFonts w:ascii="Calibri" w:eastAsia="Calibri" w:hAnsi="Calibri" w:cs="Calibri"/>
          <w:b/>
        </w:rPr>
      </w:pPr>
      <w:r w:rsidRPr="00A76624">
        <w:rPr>
          <w:rFonts w:ascii="Calibri" w:eastAsia="Calibri" w:hAnsi="Calibri" w:cs="Calibri"/>
          <w:b/>
        </w:rPr>
        <w:t>Sungsup Ra</w:t>
      </w:r>
    </w:p>
    <w:p w14:paraId="12F4EBA7" w14:textId="77777777" w:rsidR="00A76624" w:rsidRPr="00A76624" w:rsidRDefault="00A76624" w:rsidP="00A76624">
      <w:pPr>
        <w:jc w:val="center"/>
        <w:rPr>
          <w:rFonts w:ascii="Calibri" w:eastAsia="Calibri" w:hAnsi="Calibri" w:cs="Calibri"/>
          <w:b/>
        </w:rPr>
      </w:pPr>
    </w:p>
    <w:p w14:paraId="05EB86F6" w14:textId="10A0A51D" w:rsidR="009031CE" w:rsidRPr="001E4B30" w:rsidRDefault="009031CE" w:rsidP="009031CE">
      <w:pPr>
        <w:jc w:val="both"/>
        <w:rPr>
          <w:rFonts w:ascii="Calibri" w:eastAsia="Calibri" w:hAnsi="Calibri" w:cs="Calibri"/>
          <w:bCs/>
        </w:rPr>
      </w:pPr>
      <w:r w:rsidRPr="001E4B30">
        <w:rPr>
          <w:rFonts w:ascii="Calibri" w:eastAsia="Calibri" w:hAnsi="Calibri" w:cs="Calibri"/>
          <w:bCs/>
        </w:rPr>
        <w:t>This presentation assesses the profound disruptions caused by factors such as the Fourth Industrial Revolution, climate change, and the COVID-19 Pandemic and examines their impact on the future orientations and characteristics of learning societies.</w:t>
      </w:r>
    </w:p>
    <w:p w14:paraId="5BCD6938" w14:textId="03FE1D1A" w:rsidR="004C5D77" w:rsidRPr="001E4B30" w:rsidRDefault="003E3695" w:rsidP="009E419D">
      <w:pPr>
        <w:jc w:val="both"/>
        <w:rPr>
          <w:rFonts w:ascii="Calibri" w:eastAsia="Calibri" w:hAnsi="Calibri" w:cs="Calibri"/>
          <w:bCs/>
        </w:rPr>
      </w:pPr>
      <w:r w:rsidRPr="001E4B30">
        <w:rPr>
          <w:rFonts w:ascii="Calibri" w:eastAsia="Calibri" w:hAnsi="Calibri" w:cs="Calibri"/>
          <w:bCs/>
        </w:rPr>
        <w:t xml:space="preserve">The concept of </w:t>
      </w:r>
      <w:r w:rsidRPr="001E4B30">
        <w:rPr>
          <w:rFonts w:ascii="Calibri" w:eastAsia="Calibri" w:hAnsi="Calibri" w:cs="Calibri"/>
          <w:bCs/>
          <w:i/>
        </w:rPr>
        <w:t>learning societies</w:t>
      </w:r>
      <w:r w:rsidRPr="001E4B30">
        <w:rPr>
          <w:rFonts w:ascii="Calibri" w:eastAsia="Calibri" w:hAnsi="Calibri" w:cs="Calibri"/>
          <w:bCs/>
        </w:rPr>
        <w:t xml:space="preserve"> has been in circulation, in one form or another, for decades, supported by a wide range of stakeholders, including the international community. The philosophy of learning societies </w:t>
      </w:r>
      <w:r w:rsidR="001322D0" w:rsidRPr="001E4B30">
        <w:rPr>
          <w:rFonts w:ascii="Calibri" w:eastAsia="Calibri" w:hAnsi="Calibri" w:cs="Calibri"/>
          <w:bCs/>
        </w:rPr>
        <w:t>envisions</w:t>
      </w:r>
      <w:r w:rsidRPr="001E4B30">
        <w:rPr>
          <w:rFonts w:ascii="Calibri" w:eastAsia="Calibri" w:hAnsi="Calibri" w:cs="Calibri"/>
          <w:bCs/>
        </w:rPr>
        <w:t xml:space="preserve"> learning and knowledge in </w:t>
      </w:r>
      <w:r w:rsidR="001322D0" w:rsidRPr="001E4B30">
        <w:rPr>
          <w:rFonts w:ascii="Calibri" w:eastAsia="Calibri" w:hAnsi="Calibri" w:cs="Calibri"/>
          <w:bCs/>
        </w:rPr>
        <w:t xml:space="preserve">both </w:t>
      </w:r>
      <w:r w:rsidRPr="001E4B30">
        <w:rPr>
          <w:rFonts w:ascii="Calibri" w:eastAsia="Calibri" w:hAnsi="Calibri" w:cs="Calibri"/>
          <w:bCs/>
        </w:rPr>
        <w:t xml:space="preserve">formal and informal settings </w:t>
      </w:r>
      <w:r w:rsidR="001322D0" w:rsidRPr="001E4B30">
        <w:rPr>
          <w:rFonts w:ascii="Calibri" w:eastAsia="Calibri" w:hAnsi="Calibri" w:cs="Calibri"/>
          <w:bCs/>
        </w:rPr>
        <w:t>beyond</w:t>
      </w:r>
      <w:r w:rsidRPr="001E4B30">
        <w:rPr>
          <w:rFonts w:ascii="Calibri" w:eastAsia="Calibri" w:hAnsi="Calibri" w:cs="Calibri"/>
          <w:bCs/>
        </w:rPr>
        <w:t xml:space="preserve"> institution</w:t>
      </w:r>
      <w:r w:rsidR="001322D0" w:rsidRPr="001E4B30">
        <w:rPr>
          <w:rFonts w:ascii="Calibri" w:eastAsia="Calibri" w:hAnsi="Calibri" w:cs="Calibri"/>
          <w:bCs/>
        </w:rPr>
        <w:t xml:space="preserve">al education, </w:t>
      </w:r>
      <w:r w:rsidRPr="001E4B30">
        <w:rPr>
          <w:rFonts w:ascii="Calibri" w:eastAsia="Calibri" w:hAnsi="Calibri" w:cs="Calibri"/>
          <w:bCs/>
        </w:rPr>
        <w:t>as a continuum well beyond the early stage of school and university education. Learning</w:t>
      </w:r>
      <w:r w:rsidR="001322D0" w:rsidRPr="001E4B30">
        <w:rPr>
          <w:rFonts w:ascii="Calibri" w:eastAsia="Calibri" w:hAnsi="Calibri" w:cs="Calibri"/>
          <w:bCs/>
        </w:rPr>
        <w:t>, in this context,</w:t>
      </w:r>
      <w:r w:rsidRPr="001E4B30">
        <w:rPr>
          <w:rFonts w:ascii="Calibri" w:eastAsia="Calibri" w:hAnsi="Calibri" w:cs="Calibri"/>
          <w:bCs/>
        </w:rPr>
        <w:t xml:space="preserve"> can </w:t>
      </w:r>
      <w:r w:rsidR="001322D0" w:rsidRPr="001E4B30">
        <w:rPr>
          <w:rFonts w:ascii="Calibri" w:eastAsia="Calibri" w:hAnsi="Calibri" w:cs="Calibri"/>
          <w:bCs/>
        </w:rPr>
        <w:t>occur</w:t>
      </w:r>
      <w:r w:rsidRPr="001E4B30">
        <w:rPr>
          <w:rFonts w:ascii="Calibri" w:eastAsia="Calibri" w:hAnsi="Calibri" w:cs="Calibri"/>
          <w:bCs/>
        </w:rPr>
        <w:t xml:space="preserve"> anytime and anywhere through </w:t>
      </w:r>
      <w:r w:rsidR="001322D0" w:rsidRPr="001E4B30">
        <w:rPr>
          <w:rFonts w:ascii="Calibri" w:eastAsia="Calibri" w:hAnsi="Calibri" w:cs="Calibri"/>
          <w:bCs/>
        </w:rPr>
        <w:t>numerous</w:t>
      </w:r>
      <w:r w:rsidRPr="001E4B30">
        <w:rPr>
          <w:rFonts w:ascii="Calibri" w:eastAsia="Calibri" w:hAnsi="Calibri" w:cs="Calibri"/>
          <w:bCs/>
        </w:rPr>
        <w:t xml:space="preserve"> channels </w:t>
      </w:r>
      <w:r w:rsidR="001322D0" w:rsidRPr="001E4B30">
        <w:rPr>
          <w:rFonts w:ascii="Calibri" w:eastAsia="Calibri" w:hAnsi="Calibri" w:cs="Calibri"/>
          <w:bCs/>
        </w:rPr>
        <w:t>within</w:t>
      </w:r>
      <w:r w:rsidRPr="001E4B30">
        <w:rPr>
          <w:rFonts w:ascii="Calibri" w:eastAsia="Calibri" w:hAnsi="Calibri" w:cs="Calibri"/>
          <w:bCs/>
        </w:rPr>
        <w:t xml:space="preserve"> the economy and society</w:t>
      </w:r>
      <w:r w:rsidR="001322D0" w:rsidRPr="001E4B30">
        <w:rPr>
          <w:rFonts w:ascii="Calibri" w:eastAsia="Calibri" w:hAnsi="Calibri" w:cs="Calibri"/>
          <w:bCs/>
        </w:rPr>
        <w:t>,</w:t>
      </w:r>
      <w:r w:rsidRPr="001E4B30">
        <w:rPr>
          <w:rFonts w:ascii="Calibri" w:eastAsia="Calibri" w:hAnsi="Calibri" w:cs="Calibri"/>
          <w:bCs/>
        </w:rPr>
        <w:t xml:space="preserve"> and a learning society adopts a life cycle approach to knowledge. </w:t>
      </w:r>
    </w:p>
    <w:p w14:paraId="519A6E50" w14:textId="7DB39087" w:rsidR="001322D0" w:rsidRPr="001E4B30" w:rsidRDefault="001322D0" w:rsidP="001322D0">
      <w:pPr>
        <w:jc w:val="both"/>
        <w:rPr>
          <w:rFonts w:ascii="Calibri" w:eastAsia="Calibri" w:hAnsi="Calibri" w:cs="Calibri"/>
          <w:bCs/>
        </w:rPr>
      </w:pPr>
      <w:r w:rsidRPr="001E4B30">
        <w:rPr>
          <w:rFonts w:ascii="Calibri" w:eastAsia="Calibri" w:hAnsi="Calibri" w:cs="Calibri"/>
          <w:bCs/>
        </w:rPr>
        <w:t>The benefits of learning extend beyond mere increases in per capita GDP. Learning enables individuals to reach their full potential as citizens, leaders, workers, and entrepreneurs. An actively learning society thus significantly contributes not only to economic development but also to social development, inclusion, and sustainability.</w:t>
      </w:r>
    </w:p>
    <w:p w14:paraId="40009AE8" w14:textId="2C86DA51" w:rsidR="009031CE" w:rsidRPr="001E4B30" w:rsidRDefault="001322D0" w:rsidP="001322D0">
      <w:pPr>
        <w:jc w:val="both"/>
        <w:rPr>
          <w:rFonts w:ascii="Calibri" w:eastAsia="Calibri" w:hAnsi="Calibri" w:cs="Calibri"/>
          <w:bCs/>
        </w:rPr>
      </w:pPr>
      <w:r w:rsidRPr="001E4B30">
        <w:rPr>
          <w:rFonts w:ascii="Calibri" w:eastAsia="Calibri" w:hAnsi="Calibri" w:cs="Calibri"/>
          <w:bCs/>
        </w:rPr>
        <w:t>The concept of the learning society encourages countries to provide opportunities for education and training across various settings—formal, informal, and non-formal—spanning the entire life cycle. In a learning society, individuals, organizations, and institutions embrace a 'learning' approach to constantly adapt to changes and respond to the emerging needs of societies and economies. The measurement and monitoring of learning in different settings and systems, capable of providing materials and support for life-long learning, are crucial for the success of a learning society. Learnability or the ability to learn is a critical feature, ensuring that learners in schools, training institutions, and universities become adept at keeping pace with change, adapting to emerging needs of the economy and society, and navigating their lives most productively.</w:t>
      </w:r>
    </w:p>
    <w:p w14:paraId="2B9CC7A7" w14:textId="364A254D" w:rsidR="00096AF7" w:rsidRPr="00AA0281" w:rsidRDefault="003E3695" w:rsidP="00FD089F">
      <w:pPr>
        <w:rPr>
          <w:rFonts w:ascii="Calibri" w:eastAsia="Calibri" w:hAnsi="Calibri" w:cs="Calibri"/>
          <w:bCs/>
        </w:rPr>
      </w:pPr>
      <w:r w:rsidRPr="001E4B30">
        <w:rPr>
          <w:rFonts w:ascii="Calibri" w:eastAsia="Calibri" w:hAnsi="Calibri" w:cs="Calibri"/>
          <w:bCs/>
        </w:rPr>
        <w:t>In the current times of rapid change, unpredictability</w:t>
      </w:r>
      <w:r w:rsidR="00A76624" w:rsidRPr="001E4B30">
        <w:rPr>
          <w:rFonts w:ascii="Calibri" w:eastAsia="Calibri" w:hAnsi="Calibri" w:cs="Calibri"/>
          <w:bCs/>
        </w:rPr>
        <w:t>,</w:t>
      </w:r>
      <w:r w:rsidRPr="001E4B30">
        <w:rPr>
          <w:rFonts w:ascii="Calibri" w:eastAsia="Calibri" w:hAnsi="Calibri" w:cs="Calibri"/>
          <w:bCs/>
        </w:rPr>
        <w:t xml:space="preserve"> and disruptive technologies, there is an even </w:t>
      </w:r>
      <w:r w:rsidR="007E7EE6" w:rsidRPr="001E4B30">
        <w:rPr>
          <w:rFonts w:ascii="Calibri" w:eastAsia="Calibri" w:hAnsi="Calibri" w:cs="Calibri"/>
          <w:bCs/>
        </w:rPr>
        <w:t>greater</w:t>
      </w:r>
      <w:r w:rsidRPr="001E4B30">
        <w:rPr>
          <w:rFonts w:ascii="Calibri" w:eastAsia="Calibri" w:hAnsi="Calibri" w:cs="Calibri"/>
          <w:bCs/>
        </w:rPr>
        <w:t xml:space="preserve"> need to strengthen a learning society, where education and learning are not confined to traditional and formal settings but in</w:t>
      </w:r>
      <w:r w:rsidR="007E7EE6" w:rsidRPr="001E4B30">
        <w:rPr>
          <w:rFonts w:ascii="Calibri" w:eastAsia="Calibri" w:hAnsi="Calibri" w:cs="Calibri"/>
          <w:bCs/>
        </w:rPr>
        <w:t>volve</w:t>
      </w:r>
      <w:r w:rsidRPr="001E4B30">
        <w:rPr>
          <w:rFonts w:ascii="Calibri" w:eastAsia="Calibri" w:hAnsi="Calibri" w:cs="Calibri"/>
          <w:bCs/>
        </w:rPr>
        <w:t xml:space="preserve"> key players in society to create a truly sustainable learning society. A learning society ensures that learning can </w:t>
      </w:r>
      <w:r w:rsidR="007E7EE6" w:rsidRPr="001E4B30">
        <w:rPr>
          <w:rFonts w:ascii="Calibri" w:eastAsia="Calibri" w:hAnsi="Calibri" w:cs="Calibri"/>
          <w:bCs/>
        </w:rPr>
        <w:t>occur</w:t>
      </w:r>
      <w:r w:rsidRPr="001E4B30">
        <w:rPr>
          <w:rFonts w:ascii="Calibri" w:eastAsia="Calibri" w:hAnsi="Calibri" w:cs="Calibri"/>
          <w:bCs/>
        </w:rPr>
        <w:t xml:space="preserve"> in all corners of the society and economy</w:t>
      </w:r>
      <w:r w:rsidR="001E4B30" w:rsidRPr="001E4B30">
        <w:rPr>
          <w:rFonts w:ascii="Calibri" w:eastAsia="Calibri" w:hAnsi="Calibri" w:cs="Calibri"/>
          <w:bCs/>
        </w:rPr>
        <w:t>,</w:t>
      </w:r>
      <w:r w:rsidRPr="001E4B30">
        <w:rPr>
          <w:rFonts w:ascii="Calibri" w:eastAsia="Calibri" w:hAnsi="Calibri" w:cs="Calibri"/>
          <w:bCs/>
        </w:rPr>
        <w:t xml:space="preserve"> with learning links supporting and reinforcing each other.</w:t>
      </w:r>
    </w:p>
    <w:sectPr w:rsidR="00096AF7" w:rsidRPr="00AA0281">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CFC30" w14:textId="77777777" w:rsidR="00782928" w:rsidRDefault="00782928" w:rsidP="009867F8">
      <w:pPr>
        <w:spacing w:after="0" w:line="240" w:lineRule="auto"/>
      </w:pPr>
      <w:r>
        <w:separator/>
      </w:r>
    </w:p>
  </w:endnote>
  <w:endnote w:type="continuationSeparator" w:id="0">
    <w:p w14:paraId="206C1994" w14:textId="77777777" w:rsidR="00782928" w:rsidRDefault="00782928" w:rsidP="00986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4CF6" w14:textId="04D70A2B" w:rsidR="009867F8" w:rsidRDefault="009867F8">
    <w:pPr>
      <w:pStyle w:val="Footer"/>
    </w:pPr>
    <w:r>
      <w:rPr>
        <w:noProof/>
      </w:rPr>
      <mc:AlternateContent>
        <mc:Choice Requires="wps">
          <w:drawing>
            <wp:anchor distT="0" distB="0" distL="0" distR="0" simplePos="0" relativeHeight="251659264" behindDoc="0" locked="0" layoutInCell="1" allowOverlap="1" wp14:anchorId="48ADCDEA" wp14:editId="6A3391DB">
              <wp:simplePos x="635" y="635"/>
              <wp:positionH relativeFrom="page">
                <wp:align>left</wp:align>
              </wp:positionH>
              <wp:positionV relativeFrom="page">
                <wp:align>bottom</wp:align>
              </wp:positionV>
              <wp:extent cx="443865" cy="443865"/>
              <wp:effectExtent l="0" t="0" r="0" b="0"/>
              <wp:wrapNone/>
              <wp:docPr id="1352735454" name="Text Box 2"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D9298A" w14:textId="041B77C4" w:rsidR="009867F8" w:rsidRPr="009867F8" w:rsidRDefault="009867F8" w:rsidP="009867F8">
                          <w:pPr>
                            <w:spacing w:after="0"/>
                            <w:rPr>
                              <w:rFonts w:ascii="Calibri" w:eastAsia="Calibri" w:hAnsi="Calibri" w:cs="Calibri"/>
                              <w:noProof/>
                              <w:color w:val="000000"/>
                              <w:sz w:val="18"/>
                              <w:szCs w:val="18"/>
                            </w:rPr>
                          </w:pPr>
                          <w:r w:rsidRPr="009867F8">
                            <w:rPr>
                              <w:rFonts w:ascii="Calibri" w:eastAsia="Calibri" w:hAnsi="Calibri" w:cs="Calibri"/>
                              <w:noProof/>
                              <w:color w:val="000000"/>
                              <w:sz w:val="18"/>
                              <w:szCs w:val="18"/>
                            </w:rPr>
                            <w:t>INTERNAL. This information is accessible to ADB Management and staff. It may be shared outside ADB with appropriate permission.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ADCDEA" id="_x0000_t202" coordsize="21600,21600" o:spt="202" path="m,l,21600r21600,l21600,xe">
              <v:stroke joinstyle="miter"/>
              <v:path gradientshapeok="t" o:connecttype="rect"/>
            </v:shapetype>
            <v:shape id="Text Box 2" o:spid="_x0000_s1026" type="#_x0000_t202" alt="INTERNAL. This information is accessible to ADB Management and staff. It may be shared outside ADB with appropriate permission."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6D9298A" w14:textId="041B77C4" w:rsidR="009867F8" w:rsidRPr="009867F8" w:rsidRDefault="009867F8" w:rsidP="009867F8">
                    <w:pPr>
                      <w:spacing w:after="0"/>
                      <w:rPr>
                        <w:rFonts w:ascii="Calibri" w:eastAsia="Calibri" w:hAnsi="Calibri" w:cs="Calibri"/>
                        <w:noProof/>
                        <w:color w:val="000000"/>
                        <w:sz w:val="18"/>
                        <w:szCs w:val="18"/>
                      </w:rPr>
                    </w:pPr>
                    <w:r w:rsidRPr="009867F8">
                      <w:rPr>
                        <w:rFonts w:ascii="Calibri" w:eastAsia="Calibri" w:hAnsi="Calibri" w:cs="Calibri"/>
                        <w:noProof/>
                        <w:color w:val="000000"/>
                        <w:sz w:val="18"/>
                        <w:szCs w:val="18"/>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EBFF" w14:textId="6A5EFC05" w:rsidR="009867F8" w:rsidRDefault="009867F8">
    <w:pPr>
      <w:pStyle w:val="Footer"/>
    </w:pPr>
    <w:r>
      <w:rPr>
        <w:noProof/>
      </w:rPr>
      <mc:AlternateContent>
        <mc:Choice Requires="wps">
          <w:drawing>
            <wp:anchor distT="0" distB="0" distL="0" distR="0" simplePos="0" relativeHeight="251660288" behindDoc="0" locked="0" layoutInCell="1" allowOverlap="1" wp14:anchorId="58F73AB6" wp14:editId="747587DF">
              <wp:simplePos x="914400" y="9429750"/>
              <wp:positionH relativeFrom="page">
                <wp:align>left</wp:align>
              </wp:positionH>
              <wp:positionV relativeFrom="page">
                <wp:align>bottom</wp:align>
              </wp:positionV>
              <wp:extent cx="443865" cy="443865"/>
              <wp:effectExtent l="0" t="0" r="0" b="0"/>
              <wp:wrapNone/>
              <wp:docPr id="1174220895" name="Text Box 3"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A840DC" w14:textId="41CD0B8B" w:rsidR="009867F8" w:rsidRPr="009867F8" w:rsidRDefault="009867F8" w:rsidP="009867F8">
                          <w:pPr>
                            <w:spacing w:after="0"/>
                            <w:rPr>
                              <w:rFonts w:ascii="Calibri" w:eastAsia="Calibri" w:hAnsi="Calibri" w:cs="Calibri"/>
                              <w:noProof/>
                              <w:color w:val="000000"/>
                              <w:sz w:val="18"/>
                              <w:szCs w:val="18"/>
                            </w:rPr>
                          </w:pPr>
                          <w:r w:rsidRPr="009867F8">
                            <w:rPr>
                              <w:rFonts w:ascii="Calibri" w:eastAsia="Calibri" w:hAnsi="Calibri" w:cs="Calibri"/>
                              <w:noProof/>
                              <w:color w:val="000000"/>
                              <w:sz w:val="18"/>
                              <w:szCs w:val="18"/>
                            </w:rPr>
                            <w:t>INTERNAL. This information is accessible to ADB Management and staff. It may be shared outside ADB with appropriate permission.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F73AB6" id="_x0000_t202" coordsize="21600,21600" o:spt="202" path="m,l,21600r21600,l21600,xe">
              <v:stroke joinstyle="miter"/>
              <v:path gradientshapeok="t" o:connecttype="rect"/>
            </v:shapetype>
            <v:shape id="Text Box 3" o:spid="_x0000_s1027" type="#_x0000_t202" alt="INTERNAL. This information is accessible to ADB Management and staff. It may be shared outside ADB with appropriate permission."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0A840DC" w14:textId="41CD0B8B" w:rsidR="009867F8" w:rsidRPr="009867F8" w:rsidRDefault="009867F8" w:rsidP="009867F8">
                    <w:pPr>
                      <w:spacing w:after="0"/>
                      <w:rPr>
                        <w:rFonts w:ascii="Calibri" w:eastAsia="Calibri" w:hAnsi="Calibri" w:cs="Calibri"/>
                        <w:noProof/>
                        <w:color w:val="000000"/>
                        <w:sz w:val="18"/>
                        <w:szCs w:val="18"/>
                      </w:rPr>
                    </w:pPr>
                    <w:r w:rsidRPr="009867F8">
                      <w:rPr>
                        <w:rFonts w:ascii="Calibri" w:eastAsia="Calibri" w:hAnsi="Calibri" w:cs="Calibri"/>
                        <w:noProof/>
                        <w:color w:val="000000"/>
                        <w:sz w:val="18"/>
                        <w:szCs w:val="18"/>
                      </w:rPr>
                      <w:t>INTERNAL. This information is accessible to ADB Management and staff. It may be shared outside ADB with appropriate permission.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E199" w14:textId="6BAA1A10" w:rsidR="009867F8" w:rsidRDefault="009867F8">
    <w:pPr>
      <w:pStyle w:val="Footer"/>
    </w:pPr>
    <w:r>
      <w:rPr>
        <w:noProof/>
      </w:rPr>
      <mc:AlternateContent>
        <mc:Choice Requires="wps">
          <w:drawing>
            <wp:anchor distT="0" distB="0" distL="0" distR="0" simplePos="0" relativeHeight="251658240" behindDoc="0" locked="0" layoutInCell="1" allowOverlap="1" wp14:anchorId="77B6BA91" wp14:editId="32DB5F98">
              <wp:simplePos x="635" y="635"/>
              <wp:positionH relativeFrom="page">
                <wp:align>left</wp:align>
              </wp:positionH>
              <wp:positionV relativeFrom="page">
                <wp:align>bottom</wp:align>
              </wp:positionV>
              <wp:extent cx="443865" cy="443865"/>
              <wp:effectExtent l="0" t="0" r="0" b="0"/>
              <wp:wrapNone/>
              <wp:docPr id="1203343690" name="Text Box 1"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3727A6" w14:textId="17F8B03F" w:rsidR="009867F8" w:rsidRPr="009867F8" w:rsidRDefault="009867F8" w:rsidP="009867F8">
                          <w:pPr>
                            <w:spacing w:after="0"/>
                            <w:rPr>
                              <w:rFonts w:ascii="Calibri" w:eastAsia="Calibri" w:hAnsi="Calibri" w:cs="Calibri"/>
                              <w:noProof/>
                              <w:color w:val="000000"/>
                              <w:sz w:val="18"/>
                              <w:szCs w:val="18"/>
                            </w:rPr>
                          </w:pPr>
                          <w:r w:rsidRPr="009867F8">
                            <w:rPr>
                              <w:rFonts w:ascii="Calibri" w:eastAsia="Calibri" w:hAnsi="Calibri" w:cs="Calibri"/>
                              <w:noProof/>
                              <w:color w:val="000000"/>
                              <w:sz w:val="18"/>
                              <w:szCs w:val="18"/>
                            </w:rPr>
                            <w:t>INTERNAL. This information is accessible to ADB Management and staff. It may be shared outside ADB with appropriate permission.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B6BA91" id="_x0000_t202" coordsize="21600,21600" o:spt="202" path="m,l,21600r21600,l21600,xe">
              <v:stroke joinstyle="miter"/>
              <v:path gradientshapeok="t" o:connecttype="rect"/>
            </v:shapetype>
            <v:shape id="Text Box 1" o:spid="_x0000_s1028" type="#_x0000_t202" alt="INTERNAL. This information is accessible to ADB Management and staff. It may be shared outside ADB with appropriate permissio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D3727A6" w14:textId="17F8B03F" w:rsidR="009867F8" w:rsidRPr="009867F8" w:rsidRDefault="009867F8" w:rsidP="009867F8">
                    <w:pPr>
                      <w:spacing w:after="0"/>
                      <w:rPr>
                        <w:rFonts w:ascii="Calibri" w:eastAsia="Calibri" w:hAnsi="Calibri" w:cs="Calibri"/>
                        <w:noProof/>
                        <w:color w:val="000000"/>
                        <w:sz w:val="18"/>
                        <w:szCs w:val="18"/>
                      </w:rPr>
                    </w:pPr>
                    <w:r w:rsidRPr="009867F8">
                      <w:rPr>
                        <w:rFonts w:ascii="Calibri" w:eastAsia="Calibri" w:hAnsi="Calibri" w:cs="Calibri"/>
                        <w:noProof/>
                        <w:color w:val="000000"/>
                        <w:sz w:val="18"/>
                        <w:szCs w:val="18"/>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E110" w14:textId="77777777" w:rsidR="00782928" w:rsidRDefault="00782928" w:rsidP="009867F8">
      <w:pPr>
        <w:spacing w:after="0" w:line="240" w:lineRule="auto"/>
      </w:pPr>
      <w:r>
        <w:separator/>
      </w:r>
    </w:p>
  </w:footnote>
  <w:footnote w:type="continuationSeparator" w:id="0">
    <w:p w14:paraId="32B5D227" w14:textId="77777777" w:rsidR="00782928" w:rsidRDefault="00782928" w:rsidP="00986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90C2B"/>
    <w:multiLevelType w:val="multilevel"/>
    <w:tmpl w:val="D9C85B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376999"/>
    <w:multiLevelType w:val="multilevel"/>
    <w:tmpl w:val="CC1CD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6344221">
    <w:abstractNumId w:val="1"/>
  </w:num>
  <w:num w:numId="2" w16cid:durableId="246502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F7"/>
    <w:rsid w:val="00016FE2"/>
    <w:rsid w:val="00032EBA"/>
    <w:rsid w:val="00057DC1"/>
    <w:rsid w:val="00062BF7"/>
    <w:rsid w:val="00096AF7"/>
    <w:rsid w:val="001322D0"/>
    <w:rsid w:val="001E4B30"/>
    <w:rsid w:val="0023482E"/>
    <w:rsid w:val="002D3A77"/>
    <w:rsid w:val="003E3695"/>
    <w:rsid w:val="00444159"/>
    <w:rsid w:val="00450876"/>
    <w:rsid w:val="00472166"/>
    <w:rsid w:val="004B05DD"/>
    <w:rsid w:val="004C5D77"/>
    <w:rsid w:val="004F352A"/>
    <w:rsid w:val="004F3DE0"/>
    <w:rsid w:val="00772353"/>
    <w:rsid w:val="00782928"/>
    <w:rsid w:val="0078623A"/>
    <w:rsid w:val="00790D22"/>
    <w:rsid w:val="00793B5E"/>
    <w:rsid w:val="007E3E5F"/>
    <w:rsid w:val="007E7EE6"/>
    <w:rsid w:val="0082335B"/>
    <w:rsid w:val="008E7DBE"/>
    <w:rsid w:val="009031CE"/>
    <w:rsid w:val="009867F8"/>
    <w:rsid w:val="009E1FEA"/>
    <w:rsid w:val="009E419D"/>
    <w:rsid w:val="00A76624"/>
    <w:rsid w:val="00A92646"/>
    <w:rsid w:val="00AA0281"/>
    <w:rsid w:val="00AE7B75"/>
    <w:rsid w:val="00B81A3B"/>
    <w:rsid w:val="00BC7432"/>
    <w:rsid w:val="00C41160"/>
    <w:rsid w:val="00D35B2E"/>
    <w:rsid w:val="00D5543B"/>
    <w:rsid w:val="00FA0AB0"/>
    <w:rsid w:val="00FD08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F5EEA"/>
  <w15:docId w15:val="{35DB048D-D5DC-4A40-A107-0BB7D2BB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C74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C7432"/>
    <w:rPr>
      <w:rFonts w:ascii="Times New Roman" w:eastAsia="Times New Roman" w:hAnsi="Times New Roman" w:cs="Times New Roman"/>
      <w:b/>
      <w:bCs/>
      <w:sz w:val="24"/>
      <w:szCs w:val="24"/>
    </w:rPr>
  </w:style>
  <w:style w:type="character" w:customStyle="1" w:styleId="authorinfodata">
    <w:name w:val="authorinfodata"/>
    <w:basedOn w:val="DefaultParagraphFont"/>
    <w:rsid w:val="00BC7432"/>
  </w:style>
  <w:style w:type="character" w:customStyle="1" w:styleId="nlmgiven-names">
    <w:name w:val="nlm_given-names"/>
    <w:basedOn w:val="DefaultParagraphFont"/>
    <w:rsid w:val="00BC7432"/>
  </w:style>
  <w:style w:type="character" w:styleId="Hyperlink">
    <w:name w:val="Hyperlink"/>
    <w:basedOn w:val="DefaultParagraphFont"/>
    <w:uiPriority w:val="99"/>
    <w:unhideWhenUsed/>
    <w:rsid w:val="00BC7432"/>
    <w:rPr>
      <w:color w:val="0000FF"/>
      <w:u w:val="single"/>
    </w:rPr>
  </w:style>
  <w:style w:type="character" w:styleId="UnresolvedMention">
    <w:name w:val="Unresolved Mention"/>
    <w:basedOn w:val="DefaultParagraphFont"/>
    <w:uiPriority w:val="99"/>
    <w:semiHidden/>
    <w:unhideWhenUsed/>
    <w:rsid w:val="00BC7432"/>
    <w:rPr>
      <w:color w:val="605E5C"/>
      <w:shd w:val="clear" w:color="auto" w:fill="E1DFDD"/>
    </w:rPr>
  </w:style>
  <w:style w:type="paragraph" w:styleId="Footer">
    <w:name w:val="footer"/>
    <w:basedOn w:val="Normal"/>
    <w:link w:val="FooterChar"/>
    <w:uiPriority w:val="99"/>
    <w:unhideWhenUsed/>
    <w:rsid w:val="00986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7F8"/>
  </w:style>
  <w:style w:type="paragraph" w:styleId="Header">
    <w:name w:val="header"/>
    <w:basedOn w:val="Normal"/>
    <w:link w:val="HeaderChar"/>
    <w:uiPriority w:val="99"/>
    <w:unhideWhenUsed/>
    <w:rsid w:val="00472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7090">
      <w:bodyDiv w:val="1"/>
      <w:marLeft w:val="0"/>
      <w:marRight w:val="0"/>
      <w:marTop w:val="0"/>
      <w:marBottom w:val="0"/>
      <w:divBdr>
        <w:top w:val="none" w:sz="0" w:space="0" w:color="auto"/>
        <w:left w:val="none" w:sz="0" w:space="0" w:color="auto"/>
        <w:bottom w:val="none" w:sz="0" w:space="0" w:color="auto"/>
        <w:right w:val="none" w:sz="0" w:space="0" w:color="auto"/>
      </w:divBdr>
      <w:divsChild>
        <w:div w:id="433286093">
          <w:marLeft w:val="0"/>
          <w:marRight w:val="0"/>
          <w:marTop w:val="497"/>
          <w:marBottom w:val="0"/>
          <w:divBdr>
            <w:top w:val="none" w:sz="0" w:space="0" w:color="auto"/>
            <w:left w:val="none" w:sz="0" w:space="0" w:color="auto"/>
            <w:bottom w:val="none" w:sz="0" w:space="0" w:color="auto"/>
            <w:right w:val="none" w:sz="0" w:space="0" w:color="auto"/>
          </w:divBdr>
        </w:div>
        <w:div w:id="1268385719">
          <w:marLeft w:val="0"/>
          <w:marRight w:val="0"/>
          <w:marTop w:val="49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2218</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Asian Development Bank</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Shanti Jagannathan</dc:creator>
  <cp:lastModifiedBy>Sungsup Ra</cp:lastModifiedBy>
  <cp:revision>2</cp:revision>
  <dcterms:created xsi:type="dcterms:W3CDTF">2023-11-15T10:33:00Z</dcterms:created>
  <dcterms:modified xsi:type="dcterms:W3CDTF">2023-11-15T10:33:00Z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15be962006d7ff745f862a14fbe32fdb8709735d3be6be0607496afa02d3af46</vt:lpwstr>
  </property>
  <property fmtid="{D5CDD505-2E9C-101B-9397-08002B2CF9AE}" pid="3" name="ClassificationContentMarkingFooterShapeIds">
    <vt:lpwstr>47b9914a,50a11ade,45fd305f</vt:lpwstr>
  </property>
  <property fmtid="{D5CDD505-2E9C-101B-9397-08002B2CF9AE}" pid="4" name="ClassificationContentMarkingFooterFontProps">
    <vt:lpwstr>#000000,9,Calibri</vt:lpwstr>
  </property>
  <property fmtid="{D5CDD505-2E9C-101B-9397-08002B2CF9AE}" pid="5" name="ClassificationContentMarkingFooterText">
    <vt:lpwstr>INTERNAL. This information is accessible to ADB Management and staff. It may be shared outside ADB with appropriate permission.</vt:lpwstr>
  </property>
  <property fmtid="{D5CDD505-2E9C-101B-9397-08002B2CF9AE}" pid="6" name="MSIP_Label_817d4574-7375-4d17-b29c-6e4c6df0fcb0_Enabled">
    <vt:lpwstr>true</vt:lpwstr>
  </property>
  <property fmtid="{D5CDD505-2E9C-101B-9397-08002B2CF9AE}" pid="7" name="MSIP_Label_817d4574-7375-4d17-b29c-6e4c6df0fcb0_SetDate">
    <vt:lpwstr>2023-11-15T08:34:16Z</vt:lpwstr>
  </property>
  <property fmtid="{D5CDD505-2E9C-101B-9397-08002B2CF9AE}" pid="8" name="MSIP_Label_817d4574-7375-4d17-b29c-6e4c6df0fcb0_Method">
    <vt:lpwstr>Standard</vt:lpwstr>
  </property>
  <property fmtid="{D5CDD505-2E9C-101B-9397-08002B2CF9AE}" pid="9" name="MSIP_Label_817d4574-7375-4d17-b29c-6e4c6df0fcb0_Name">
    <vt:lpwstr>ADB Internal</vt:lpwstr>
  </property>
  <property fmtid="{D5CDD505-2E9C-101B-9397-08002B2CF9AE}" pid="10" name="MSIP_Label_817d4574-7375-4d17-b29c-6e4c6df0fcb0_SiteId">
    <vt:lpwstr>9495d6bb-41c2-4c58-848f-92e52cf3d640</vt:lpwstr>
  </property>
  <property fmtid="{D5CDD505-2E9C-101B-9397-08002B2CF9AE}" pid="11" name="MSIP_Label_817d4574-7375-4d17-b29c-6e4c6df0fcb0_ActionId">
    <vt:lpwstr>b23706d8-c4bd-4db9-b69f-2c3be01efebe</vt:lpwstr>
  </property>
  <property fmtid="{D5CDD505-2E9C-101B-9397-08002B2CF9AE}" pid="12" name="MSIP_Label_817d4574-7375-4d17-b29c-6e4c6df0fcb0_ContentBits">
    <vt:lpwstr>2</vt:lpwstr>
  </property>
</Properties>
</file>